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Default="003F22F3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7F6"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Абсентеизм, его причины и опасность</w:t>
      </w: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9657F6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630E3762" wp14:editId="4A7BEFA8">
            <wp:extent cx="6140238" cy="4605179"/>
            <wp:effectExtent l="0" t="0" r="0" b="5080"/>
            <wp:docPr id="2" name="Рисунок 2" descr="http://900igr.net/up/datas/15160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51601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78" cy="46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54F9"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Главной причиной абсентеизма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ыделить два основных вида абсентеизма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 характерных черт политической жизни постиндустриального общества является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ктивный абсентеизм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  <w:bookmarkStart w:id="1" w:name="_GoBack"/>
      <w:bookmarkEnd w:id="1"/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,05,2020 по 2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6354F9"/>
    <w:rsid w:val="00752D72"/>
    <w:rsid w:val="00883AD6"/>
    <w:rsid w:val="009657F6"/>
    <w:rsid w:val="00B441F0"/>
    <w:rsid w:val="00C24673"/>
    <w:rsid w:val="00C76C8C"/>
    <w:rsid w:val="00D34DC5"/>
    <w:rsid w:val="00D82F9A"/>
    <w:rsid w:val="00E813FD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857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2020-05-14T20:13:00Z</dcterms:modified>
</cp:coreProperties>
</file>