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FC" w:rsidRPr="00204FB4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</w:t>
      </w:r>
      <w:r w:rsidR="00204FB4">
        <w:rPr>
          <w:sz w:val="28"/>
          <w:szCs w:val="28"/>
          <w:u w:val="single"/>
        </w:rPr>
        <w:t xml:space="preserve"> 38.01.03 Контролер банка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дисциплины</w:t>
      </w:r>
      <w:r w:rsidR="00145A43">
        <w:rPr>
          <w:sz w:val="28"/>
          <w:szCs w:val="28"/>
        </w:rPr>
        <w:t xml:space="preserve"> </w:t>
      </w:r>
      <w:r w:rsidR="00145A43">
        <w:rPr>
          <w:sz w:val="28"/>
          <w:szCs w:val="28"/>
          <w:u w:val="single"/>
        </w:rPr>
        <w:t xml:space="preserve">Основы бухгалтерского учет в банках 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ФИО преподавателя _</w:t>
      </w:r>
      <w:proofErr w:type="spellStart"/>
      <w:r w:rsidR="00145A43">
        <w:rPr>
          <w:sz w:val="28"/>
          <w:szCs w:val="28"/>
          <w:u w:val="single"/>
        </w:rPr>
        <w:t>Колодняя</w:t>
      </w:r>
      <w:proofErr w:type="spellEnd"/>
      <w:r w:rsidR="00145A43">
        <w:rPr>
          <w:sz w:val="28"/>
          <w:szCs w:val="28"/>
          <w:u w:val="single"/>
        </w:rPr>
        <w:t xml:space="preserve"> Е.А.</w:t>
      </w:r>
    </w:p>
    <w:p w:rsidR="00270BFC" w:rsidRDefault="00270BFC" w:rsidP="00270BFC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145A43" w:rsidRPr="00145A43">
        <w:rPr>
          <w:sz w:val="28"/>
          <w:szCs w:val="28"/>
          <w:u w:val="single"/>
        </w:rPr>
        <w:t>1 курс</w:t>
      </w:r>
    </w:p>
    <w:p w:rsidR="00145A43" w:rsidRDefault="00270BFC" w:rsidP="00270BF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_</w:t>
      </w:r>
      <w:r w:rsidR="00145A43">
        <w:rPr>
          <w:sz w:val="28"/>
          <w:szCs w:val="28"/>
          <w:u w:val="single"/>
        </w:rPr>
        <w:t>19КБ-11</w:t>
      </w:r>
      <w:r w:rsidRPr="0071151D">
        <w:rPr>
          <w:i/>
          <w:sz w:val="28"/>
          <w:szCs w:val="28"/>
        </w:rPr>
        <w:t xml:space="preserve"> </w:t>
      </w:r>
    </w:p>
    <w:p w:rsidR="009F473E" w:rsidRDefault="00270BFC" w:rsidP="009F47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1 </w:t>
      </w:r>
      <w:r w:rsidR="009F473E">
        <w:rPr>
          <w:rStyle w:val="a3"/>
          <w:rFonts w:ascii="Verdana" w:hAnsi="Verdana"/>
          <w:color w:val="000000"/>
        </w:rPr>
        <w:t>Учет кассовых операций</w:t>
      </w:r>
      <w:r w:rsidR="009F473E">
        <w:rPr>
          <w:sz w:val="28"/>
          <w:szCs w:val="28"/>
        </w:rPr>
        <w:t xml:space="preserve"> </w:t>
      </w:r>
    </w:p>
    <w:p w:rsidR="00270BFC" w:rsidRDefault="00270BFC" w:rsidP="009F473E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9F473E" w:rsidRPr="0090393B" w:rsidRDefault="009F473E" w:rsidP="009F473E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0393B">
        <w:rPr>
          <w:color w:val="000000"/>
        </w:rPr>
        <w:t>1. Рассмотреть организацию кассовой работы. Порядок бухгалтерского учета в хранилище.</w:t>
      </w:r>
    </w:p>
    <w:p w:rsidR="009F473E" w:rsidRPr="0090393B" w:rsidRDefault="009F473E" w:rsidP="009F473E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0393B">
        <w:rPr>
          <w:color w:val="000000"/>
        </w:rPr>
        <w:t xml:space="preserve">2. Рассмотреть бухгалтерского учета </w:t>
      </w:r>
      <w:bookmarkStart w:id="0" w:name="_GoBack"/>
      <w:bookmarkEnd w:id="0"/>
      <w:r w:rsidRPr="0090393B">
        <w:rPr>
          <w:color w:val="000000"/>
        </w:rPr>
        <w:t>и документооборот по расходным кассовым операциям.</w:t>
      </w:r>
    </w:p>
    <w:p w:rsidR="009F473E" w:rsidRPr="0090393B" w:rsidRDefault="009F473E" w:rsidP="009F473E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0393B">
        <w:rPr>
          <w:color w:val="000000"/>
        </w:rPr>
        <w:t>3. Рассмотреть бухгалтерского учета и документооборот по приходным кассовым операциям.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>Указание Банка России от 16.01.2014 №1379-У «Об оценке финансовой устойчивости банка в целях признания ее достаточной для участия в системе страхования вкладов»;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Указание Банка России от 31.03.2017 №766-У «О критериях определения финансового состояния кредитных организаций»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Указание от 16 января 2014 г. №1379-У «Об оценке финансовой устойчивости банка в целях признания ее достаточной для участия в системе страхования вкладов»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Банковский курс. Корпоративное издание банка Москвы №3 2012Деньги. Кредит. Банки: учеб. / под ред. В.В. Иванова, Э Б.И. Соколова. - М.: Проспект, 2012. - 848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Банковское дело // под редакцией Жукова Е.Ф., </w:t>
      </w:r>
      <w:proofErr w:type="spellStart"/>
      <w:r w:rsidRPr="006434CF">
        <w:rPr>
          <w:color w:val="000000"/>
        </w:rPr>
        <w:t>Эриашвили</w:t>
      </w:r>
      <w:proofErr w:type="spellEnd"/>
      <w:r w:rsidRPr="006434CF">
        <w:rPr>
          <w:color w:val="000000"/>
        </w:rPr>
        <w:t> Н.Д.М.: ЮНИТИ, 2012. - 575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6434CF">
        <w:rPr>
          <w:color w:val="000000"/>
        </w:rPr>
        <w:t>Братко</w:t>
      </w:r>
      <w:proofErr w:type="spellEnd"/>
      <w:r w:rsidRPr="006434CF">
        <w:rPr>
          <w:color w:val="000000"/>
        </w:rPr>
        <w:t> А.Г. Банковское право России. М.: Дело, 2015. - 650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>Воронин А.С. Стратегическое планирование и управление рисками в коммерческом банке // «Управление в кредитной организации», 2017, №1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>Гриценко Р.А. Обеспечение экономической безопасности банковской системы // http://www.bankir.ru/analytics/nadzor/7/27384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6434CF">
        <w:rPr>
          <w:color w:val="000000"/>
        </w:rPr>
        <w:t>Гуманков</w:t>
      </w:r>
      <w:proofErr w:type="spellEnd"/>
      <w:r w:rsidRPr="006434CF">
        <w:rPr>
          <w:color w:val="000000"/>
        </w:rPr>
        <w:t xml:space="preserve"> К. Экспресс-кредитование // «</w:t>
      </w:r>
      <w:proofErr w:type="spellStart"/>
      <w:r w:rsidRPr="006434CF">
        <w:rPr>
          <w:color w:val="000000"/>
        </w:rPr>
        <w:t>Финанс</w:t>
      </w:r>
      <w:proofErr w:type="spellEnd"/>
      <w:r w:rsidRPr="006434CF">
        <w:rPr>
          <w:color w:val="000000"/>
        </w:rPr>
        <w:t>» №25 (115) 18-24 июля 2015 г.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Гардинер</w:t>
      </w:r>
      <w:proofErr w:type="spellEnd"/>
      <w:r w:rsidRPr="006434CF">
        <w:rPr>
          <w:color w:val="000000"/>
        </w:rPr>
        <w:t xml:space="preserve"> Б. Природа риска. // Страховое дело, №6, 2014. - с. 41-44.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Грабовый П.Г., Петрова С.Н., и др. Риски в современном бизнесе. М.:</w:t>
      </w:r>
      <w:proofErr w:type="spellStart"/>
      <w:r w:rsidRPr="006434CF">
        <w:rPr>
          <w:color w:val="000000"/>
        </w:rPr>
        <w:t>Изд</w:t>
      </w:r>
      <w:proofErr w:type="spellEnd"/>
      <w:r w:rsidRPr="006434CF">
        <w:rPr>
          <w:color w:val="000000"/>
        </w:rPr>
        <w:t>. «</w:t>
      </w:r>
      <w:proofErr w:type="spellStart"/>
      <w:r w:rsidRPr="006434CF">
        <w:rPr>
          <w:color w:val="000000"/>
        </w:rPr>
        <w:t>Аланс</w:t>
      </w:r>
      <w:proofErr w:type="spellEnd"/>
      <w:r w:rsidRPr="006434CF">
        <w:rPr>
          <w:color w:val="000000"/>
        </w:rPr>
        <w:t>», 2016. - 200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Гранатуров</w:t>
      </w:r>
      <w:proofErr w:type="spellEnd"/>
      <w:r w:rsidRPr="006434CF">
        <w:rPr>
          <w:color w:val="000000"/>
        </w:rPr>
        <w:t xml:space="preserve"> В.М. «Экономический риск: сущность, методы измерения, пути снижения»: Учебное пособие. - 2-е изд., </w:t>
      </w:r>
      <w:proofErr w:type="spellStart"/>
      <w:r w:rsidRPr="006434CF">
        <w:rPr>
          <w:color w:val="000000"/>
        </w:rPr>
        <w:t>перераб</w:t>
      </w:r>
      <w:proofErr w:type="spellEnd"/>
      <w:r w:rsidRPr="006434CF">
        <w:rPr>
          <w:color w:val="000000"/>
        </w:rPr>
        <w:t>. и доп. - М.: Издательство «Дело и сервис», 2015. - 160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Грюнинг</w:t>
      </w:r>
      <w:proofErr w:type="spellEnd"/>
      <w:r w:rsidRPr="006434CF">
        <w:rPr>
          <w:color w:val="000000"/>
        </w:rPr>
        <w:t xml:space="preserve"> Х. </w:t>
      </w:r>
      <w:proofErr w:type="spellStart"/>
      <w:r w:rsidRPr="006434CF">
        <w:rPr>
          <w:color w:val="000000"/>
        </w:rPr>
        <w:t>ван</w:t>
      </w:r>
      <w:proofErr w:type="spellEnd"/>
      <w:r w:rsidRPr="006434CF">
        <w:rPr>
          <w:color w:val="000000"/>
        </w:rPr>
        <w:t xml:space="preserve">, </w:t>
      </w:r>
      <w:proofErr w:type="spellStart"/>
      <w:r w:rsidRPr="006434CF">
        <w:rPr>
          <w:color w:val="000000"/>
        </w:rPr>
        <w:t>Брайович</w:t>
      </w:r>
      <w:proofErr w:type="spellEnd"/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Братанович</w:t>
      </w:r>
      <w:proofErr w:type="spellEnd"/>
      <w:r w:rsidRPr="006434CF">
        <w:rPr>
          <w:color w:val="000000"/>
        </w:rPr>
        <w:t xml:space="preserve"> С. Анализ банковских рисков. Система оценки корпоративного управления и управления финансовым риском. Пер. с англ. публикации МБРР (Всемирного банка). М.: Весь мир, 2017. - 304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Давыдов Р.А. Управление кредитными рисками и методы их оценки при кредитовании // «Банковское кредитование», 2017, №2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Зайцева О.А. Базель II. Первый компонент - стандартизированный подход к оценке кредитного риска // Регламентация банковских операций. Документы и комментарии. 2017. №2 (98).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Загорий</w:t>
      </w:r>
      <w:proofErr w:type="spellEnd"/>
      <w:r w:rsidRPr="006434CF">
        <w:rPr>
          <w:color w:val="000000"/>
        </w:rPr>
        <w:t> Г.В. О методах оценки кредитного риска. // Деньги и кредит. 2014. №6. С. 31-34.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lastRenderedPageBreak/>
        <w:t>Ковалев В.В., Ковалев Вит. В. Финансы организаций (предприятий): учебник. - М. Проспект, 2015. - 352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Ковалев П.Н. Методы банковского риск-менеджмента на этапе идентификации и оценки последствий от наступления рисков // «Управление в кредитной организации», 2017, №3</w:t>
      </w:r>
    </w:p>
    <w:p w:rsidR="00145A43" w:rsidRDefault="00145A43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270BFC" w:rsidRPr="00E3522C" w:rsidRDefault="00270BFC" w:rsidP="00270BFC">
      <w:pPr>
        <w:spacing w:line="360" w:lineRule="auto"/>
        <w:ind w:firstLine="720"/>
        <w:jc w:val="center"/>
        <w:rPr>
          <w:sz w:val="28"/>
          <w:szCs w:val="28"/>
        </w:rPr>
      </w:pPr>
      <w:r w:rsidRPr="006434CF">
        <w:rPr>
          <w:sz w:val="28"/>
          <w:szCs w:val="28"/>
          <w:highlight w:val="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92226" w:rsidRPr="006434CF" w:rsidRDefault="00992226" w:rsidP="006434CF">
      <w:pPr>
        <w:spacing w:after="300"/>
        <w:ind w:left="207"/>
        <w:outlineLvl w:val="0"/>
        <w:rPr>
          <w:b/>
          <w:bCs/>
          <w:kern w:val="36"/>
          <w:sz w:val="28"/>
          <w:szCs w:val="36"/>
        </w:rPr>
      </w:pPr>
      <w:r w:rsidRPr="006434CF">
        <w:rPr>
          <w:b/>
          <w:bCs/>
          <w:kern w:val="36"/>
          <w:sz w:val="28"/>
          <w:szCs w:val="36"/>
        </w:rPr>
        <w:t>Тест: “Бухгалтерский учет в банках”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В лицевых счетах показывается:</w:t>
      </w:r>
      <w:r w:rsidRPr="006434CF">
        <w:br/>
        <w:t xml:space="preserve">а) обороты по дебету и кредиту, отраженные по каждому документу (сводному документу) </w:t>
      </w:r>
      <w:r w:rsidRPr="006434CF">
        <w:br/>
        <w:t>б) остаток до отражения каждой операции и на начало дня</w:t>
      </w:r>
      <w:r w:rsidRPr="006434CF">
        <w:br/>
        <w:t>в) входящий остаток на конец дня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В лицевых счетах показывается:</w:t>
      </w:r>
      <w:r w:rsidRPr="006434CF">
        <w:br/>
        <w:t>а) остаток до отражения каждой операции и на начало дня</w:t>
      </w:r>
      <w:r w:rsidRPr="006434CF">
        <w:br/>
        <w:t>б) дата будущей операции по счету</w:t>
      </w:r>
      <w:r w:rsidRPr="006434CF">
        <w:br/>
        <w:t xml:space="preserve">в) дата предыдущей операции по счету 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В кассовых и мемориальных ордерах на оприходование и списание ценностей и документов, хранящихся в кладовой, итоговые суммы повторяются:</w:t>
      </w:r>
      <w:r w:rsidRPr="006434CF">
        <w:br/>
        <w:t xml:space="preserve">а) прописью </w:t>
      </w:r>
      <w:r w:rsidRPr="006434CF">
        <w:br/>
        <w:t>б) цифрами</w:t>
      </w:r>
      <w:r w:rsidRPr="006434CF">
        <w:br/>
        <w:t>в) не повторяются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Депозитный сертификат коммерческий банк выдает:</w:t>
      </w:r>
      <w:r w:rsidRPr="006434CF">
        <w:br/>
        <w:t>а) юридическим и физическим лицам по решению банка</w:t>
      </w:r>
      <w:r w:rsidRPr="006434CF">
        <w:br/>
        <w:t xml:space="preserve">б) юридическим лицам </w:t>
      </w:r>
      <w:r w:rsidRPr="006434CF">
        <w:br/>
        <w:t>в) физическим лицам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proofErr w:type="gramStart"/>
      <w:r w:rsidRPr="006434CF">
        <w:t>Сверка аналитического учета с синтетическим по оборотам производится … по заключительным оборотам прошлого года и по оборотам текущего года:</w:t>
      </w:r>
      <w:r w:rsidRPr="006434CF">
        <w:br/>
        <w:t>а) не производится</w:t>
      </w:r>
      <w:r w:rsidRPr="006434CF">
        <w:br/>
        <w:t>б) совместно</w:t>
      </w:r>
      <w:r w:rsidRPr="006434CF">
        <w:br/>
        <w:t xml:space="preserve">в) раздельно </w:t>
      </w:r>
      <w:proofErr w:type="gramEnd"/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Учет произведенных расходов ведется на активном счете первого порядка:</w:t>
      </w:r>
      <w:r w:rsidRPr="006434CF">
        <w:br/>
        <w:t>а) 072</w:t>
      </w:r>
      <w:r w:rsidRPr="006434CF">
        <w:br/>
        <w:t xml:space="preserve">б) 702 </w:t>
      </w:r>
      <w:r w:rsidRPr="006434CF">
        <w:br/>
        <w:t>в) 207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Счета, открытые клиентам, регистрируются в книге регистрации:</w:t>
      </w:r>
      <w:r w:rsidRPr="006434CF">
        <w:br/>
        <w:t>а) счетов, находящихся под арестом</w:t>
      </w:r>
      <w:r w:rsidRPr="006434CF">
        <w:br/>
        <w:t>б) пролонгированных счетов</w:t>
      </w:r>
      <w:r w:rsidRPr="006434CF">
        <w:br/>
        <w:t xml:space="preserve">в) открытых счетов 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Операция банка в виде купли-продажи ценных бумаг от имени клиента или по его поручению, а также за счет средств самого банка:</w:t>
      </w:r>
      <w:r w:rsidRPr="006434CF">
        <w:br/>
        <w:t>а) чистая прибыль с ценными бумагами</w:t>
      </w:r>
      <w:r w:rsidRPr="006434CF">
        <w:br/>
        <w:t>б) торговая операция с ценными бумагами</w:t>
      </w:r>
      <w:r w:rsidRPr="006434CF">
        <w:br/>
        <w:t>в) финансовый лизинг с ценными бумагами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Для учета наличных денежных сре</w:t>
      </w:r>
      <w:proofErr w:type="gramStart"/>
      <w:r w:rsidRPr="006434CF">
        <w:t>дств в р</w:t>
      </w:r>
      <w:proofErr w:type="gramEnd"/>
      <w:r w:rsidRPr="006434CF">
        <w:t>ублях и иностранной валюте, находящихся в банкоматах, которые принадлежат кредитной организации, предназначен именно этот счет:</w:t>
      </w:r>
      <w:r w:rsidRPr="006434CF">
        <w:br/>
        <w:t>а) 20208</w:t>
      </w:r>
      <w:r w:rsidRPr="006434CF">
        <w:br/>
        <w:t>б) 20202</w:t>
      </w:r>
      <w:r w:rsidRPr="006434CF">
        <w:br/>
        <w:t>в) 20207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Соглашение, на основании которого заёмщик приобретает право на получение и использование в течение обусловленного срока денежных средств:</w:t>
      </w:r>
      <w:r w:rsidRPr="006434CF">
        <w:br/>
      </w:r>
      <w:r w:rsidRPr="006434CF">
        <w:lastRenderedPageBreak/>
        <w:t>а) привлеченные средства</w:t>
      </w:r>
      <w:r w:rsidRPr="006434CF">
        <w:br/>
        <w:t xml:space="preserve">б) кредитная линия </w:t>
      </w:r>
      <w:r w:rsidRPr="006434CF">
        <w:br/>
        <w:t>в) кредитная политика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Приход денежных сре</w:t>
      </w:r>
      <w:proofErr w:type="gramStart"/>
      <w:r w:rsidRPr="006434CF">
        <w:t>дств в к</w:t>
      </w:r>
      <w:proofErr w:type="gramEnd"/>
      <w:r w:rsidRPr="006434CF">
        <w:t>ассу банка отражается по:</w:t>
      </w:r>
      <w:r w:rsidRPr="006434CF">
        <w:br/>
        <w:t>а) дебету и кредиту счета 20202 «Касса кредитных организаций»</w:t>
      </w:r>
      <w:r w:rsidRPr="006434CF">
        <w:br/>
        <w:t>б) кредиту счета 20202 «Касса кредитных организаций»</w:t>
      </w:r>
      <w:r w:rsidRPr="006434CF">
        <w:br/>
        <w:t>в) дебету счета 20202 «Касса кредитных организаций» +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К учету процентов по размещенным средствам, отнесенным в установленном Банком России порядке, ко 2-й и выше группе риска применяется только такой метод:</w:t>
      </w:r>
      <w:r w:rsidRPr="006434CF">
        <w:br/>
        <w:t>а) начислений</w:t>
      </w:r>
      <w:r w:rsidRPr="006434CF">
        <w:br/>
        <w:t>б) кассовый +</w:t>
      </w:r>
      <w:r w:rsidRPr="006434CF">
        <w:br/>
        <w:t>в) экспертных оценок</w:t>
      </w:r>
    </w:p>
    <w:p w:rsidR="00992226" w:rsidRPr="006434CF" w:rsidRDefault="00992226" w:rsidP="00992226">
      <w:pPr>
        <w:pStyle w:val="a5"/>
        <w:numPr>
          <w:ilvl w:val="0"/>
          <w:numId w:val="3"/>
        </w:numPr>
        <w:shd w:val="clear" w:color="auto" w:fill="FFFFFF"/>
        <w:spacing w:after="375"/>
        <w:ind w:left="426"/>
      </w:pPr>
      <w:r w:rsidRPr="006434CF">
        <w:t>Основой организации первичного учета является утвержденный главным бухгалтером:</w:t>
      </w:r>
      <w:r w:rsidRPr="006434CF">
        <w:br/>
        <w:t>а) проект документооборота</w:t>
      </w:r>
      <w:r w:rsidRPr="006434CF">
        <w:br/>
        <w:t>б) модель документооборота</w:t>
      </w:r>
      <w:r w:rsidRPr="006434CF">
        <w:br/>
        <w:t xml:space="preserve">в) график документооборота </w:t>
      </w:r>
    </w:p>
    <w:p w:rsidR="006434CF" w:rsidRPr="006434CF" w:rsidRDefault="006434CF" w:rsidP="006434CF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6434CF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6434CF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434CF" w:rsidRPr="006434CF" w:rsidRDefault="006434CF" w:rsidP="006434CF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434CF" w:rsidRPr="006434CF" w:rsidRDefault="006434CF" w:rsidP="006434CF">
      <w:pPr>
        <w:spacing w:line="360" w:lineRule="auto"/>
        <w:ind w:left="360"/>
        <w:jc w:val="center"/>
        <w:rPr>
          <w:b/>
          <w:i/>
          <w:color w:val="FF0000"/>
          <w:sz w:val="32"/>
          <w:szCs w:val="28"/>
        </w:rPr>
      </w:pPr>
      <w:proofErr w:type="gramStart"/>
      <w:r w:rsidRPr="006434CF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6434CF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6434CF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6434CF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6434CF" w:rsidRPr="006434CF" w:rsidRDefault="006434CF" w:rsidP="006434CF">
      <w:pPr>
        <w:spacing w:line="360" w:lineRule="auto"/>
        <w:ind w:left="360"/>
        <w:jc w:val="center"/>
        <w:rPr>
          <w:sz w:val="28"/>
          <w:szCs w:val="28"/>
        </w:rPr>
      </w:pPr>
      <w:r w:rsidRPr="006434CF">
        <w:rPr>
          <w:sz w:val="28"/>
          <w:szCs w:val="28"/>
        </w:rPr>
        <w:t>Уважаемые студенты,</w:t>
      </w:r>
    </w:p>
    <w:p w:rsidR="00EE6F46" w:rsidRDefault="006434CF" w:rsidP="006434CF">
      <w:pPr>
        <w:spacing w:line="360" w:lineRule="auto"/>
        <w:ind w:left="360"/>
        <w:jc w:val="both"/>
      </w:pPr>
      <w:r w:rsidRPr="006434CF">
        <w:rPr>
          <w:sz w:val="28"/>
          <w:szCs w:val="28"/>
        </w:rPr>
        <w:t>выполненные задания необходимо отправить на электронную почту</w:t>
      </w:r>
    </w:p>
    <w:p w:rsidR="0051456D" w:rsidRPr="00583D8F" w:rsidRDefault="0051456D" w:rsidP="00145A43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Оправлять на почту - </w:t>
      </w:r>
      <w:hyperlink r:id="rId6" w:history="1">
        <w:r w:rsidR="00583D8F" w:rsidRPr="00EE6163">
          <w:rPr>
            <w:rStyle w:val="a6"/>
            <w:b/>
            <w:sz w:val="32"/>
            <w:highlight w:val="yellow"/>
            <w:lang w:val="en-US"/>
          </w:rPr>
          <w:t>klena</w:t>
        </w:r>
        <w:r w:rsidR="00583D8F" w:rsidRPr="00EE6163">
          <w:rPr>
            <w:rStyle w:val="a6"/>
            <w:b/>
            <w:sz w:val="32"/>
            <w:highlight w:val="yellow"/>
          </w:rPr>
          <w:t>017@</w:t>
        </w:r>
        <w:r w:rsidR="00583D8F" w:rsidRPr="00EE6163">
          <w:rPr>
            <w:rStyle w:val="a6"/>
            <w:b/>
            <w:sz w:val="32"/>
            <w:highlight w:val="yellow"/>
            <w:lang w:val="en-US"/>
          </w:rPr>
          <w:t>bk</w:t>
        </w:r>
        <w:r w:rsidR="00583D8F" w:rsidRPr="00EE6163">
          <w:rPr>
            <w:rStyle w:val="a6"/>
            <w:b/>
            <w:sz w:val="32"/>
            <w:highlight w:val="yellow"/>
          </w:rPr>
          <w:t>.</w:t>
        </w:r>
        <w:proofErr w:type="spellStart"/>
        <w:r w:rsidR="00583D8F" w:rsidRPr="00EE6163">
          <w:rPr>
            <w:rStyle w:val="a6"/>
            <w:b/>
            <w:sz w:val="32"/>
            <w:highlight w:val="yellow"/>
            <w:lang w:val="en-US"/>
          </w:rPr>
          <w:t>ru</w:t>
        </w:r>
        <w:proofErr w:type="spellEnd"/>
      </w:hyperlink>
      <w:r w:rsidR="00583D8F">
        <w:rPr>
          <w:b/>
          <w:sz w:val="32"/>
          <w:u w:val="single"/>
        </w:rPr>
        <w:t xml:space="preserve"> до 27.03.2020</w:t>
      </w:r>
    </w:p>
    <w:p w:rsidR="00583D8F" w:rsidRPr="0051456D" w:rsidRDefault="00583D8F">
      <w:pPr>
        <w:spacing w:line="360" w:lineRule="auto"/>
        <w:ind w:firstLine="720"/>
        <w:jc w:val="both"/>
        <w:rPr>
          <w:b/>
          <w:sz w:val="28"/>
          <w:u w:val="single"/>
        </w:rPr>
      </w:pPr>
    </w:p>
    <w:sectPr w:rsidR="00583D8F" w:rsidRPr="0051456D" w:rsidSect="006434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275"/>
    <w:multiLevelType w:val="hybridMultilevel"/>
    <w:tmpl w:val="D76CE7C8"/>
    <w:lvl w:ilvl="0" w:tplc="6C1CF928">
      <w:start w:val="2"/>
      <w:numFmt w:val="decimal"/>
      <w:lvlText w:val="%1."/>
      <w:lvlJc w:val="left"/>
      <w:pPr>
        <w:ind w:left="945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4C20"/>
    <w:multiLevelType w:val="hybridMultilevel"/>
    <w:tmpl w:val="9282F5B0"/>
    <w:lvl w:ilvl="0" w:tplc="0C8A676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D626FA7"/>
    <w:multiLevelType w:val="hybridMultilevel"/>
    <w:tmpl w:val="5F84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70DE"/>
    <w:multiLevelType w:val="hybridMultilevel"/>
    <w:tmpl w:val="732841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F"/>
    <w:rsid w:val="0001185F"/>
    <w:rsid w:val="00145A43"/>
    <w:rsid w:val="00204FB4"/>
    <w:rsid w:val="00270BFC"/>
    <w:rsid w:val="002E5A87"/>
    <w:rsid w:val="0051456D"/>
    <w:rsid w:val="00583D8F"/>
    <w:rsid w:val="006434CF"/>
    <w:rsid w:val="0090393B"/>
    <w:rsid w:val="00992226"/>
    <w:rsid w:val="009F473E"/>
    <w:rsid w:val="00B87E5B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D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na01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АЛСИ</cp:lastModifiedBy>
  <cp:revision>8</cp:revision>
  <dcterms:created xsi:type="dcterms:W3CDTF">2020-03-20T06:48:00Z</dcterms:created>
  <dcterms:modified xsi:type="dcterms:W3CDTF">2020-03-20T11:39:00Z</dcterms:modified>
</cp:coreProperties>
</file>