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9" w:rsidRPr="00204FB4" w:rsidRDefault="002E0099" w:rsidP="002E009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 xml:space="preserve">Основы бухгалтерского учет в банках 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270BFC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270BF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270BFC" w:rsidRDefault="00270BFC" w:rsidP="00270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439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45A43" w:rsidRPr="00145A43">
        <w:rPr>
          <w:rStyle w:val="a3"/>
          <w:rFonts w:ascii="Verdana" w:hAnsi="Verdana"/>
          <w:color w:val="000000"/>
          <w:u w:val="single"/>
        </w:rPr>
        <w:t>Учет кредитных операций банков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145A43" w:rsidRPr="001A21F1" w:rsidRDefault="00145A43" w:rsidP="00145A43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1A21F1">
        <w:rPr>
          <w:color w:val="000000"/>
        </w:rPr>
        <w:t>1. Изучить организацию бухгалтерского учета кредитных операций в банках, а также содержание второго класса плана счетов.</w:t>
      </w:r>
    </w:p>
    <w:p w:rsidR="00145A43" w:rsidRPr="001A21F1" w:rsidRDefault="00145A43" w:rsidP="00145A43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1A21F1">
        <w:rPr>
          <w:color w:val="000000"/>
        </w:rPr>
        <w:t>2. Рассмотреть порядок и документального оформления учета выдачи и погашения кредитов.</w:t>
      </w:r>
    </w:p>
    <w:p w:rsidR="00145A43" w:rsidRPr="001A21F1" w:rsidRDefault="00145A43" w:rsidP="00145A43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1A21F1">
        <w:rPr>
          <w:color w:val="000000"/>
        </w:rPr>
        <w:t>3. Рассмотреть порядок начисления и бухгалтерского учета процентных доходов банка по кредитным операциям.</w:t>
      </w:r>
    </w:p>
    <w:p w:rsidR="00145A43" w:rsidRPr="001A21F1" w:rsidRDefault="00145A43" w:rsidP="00145A43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1A21F1">
        <w:rPr>
          <w:color w:val="000000"/>
        </w:rPr>
        <w:t xml:space="preserve">4. Рассмотреть организацию бухгалтерского учета </w:t>
      </w:r>
      <w:proofErr w:type="spellStart"/>
      <w:r w:rsidRPr="001A21F1">
        <w:rPr>
          <w:color w:val="000000"/>
        </w:rPr>
        <w:t>факторинговых</w:t>
      </w:r>
      <w:proofErr w:type="spellEnd"/>
      <w:r w:rsidRPr="001A21F1">
        <w:rPr>
          <w:color w:val="000000"/>
        </w:rPr>
        <w:t xml:space="preserve"> операций банка.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Банковское дело // под редакцией Жукова Е.Ф., </w:t>
      </w:r>
      <w:proofErr w:type="spellStart"/>
      <w:r w:rsidRPr="001A21F1">
        <w:rPr>
          <w:color w:val="000000"/>
        </w:rPr>
        <w:t>Эриашвили</w:t>
      </w:r>
      <w:proofErr w:type="spellEnd"/>
      <w:r w:rsidRPr="001A21F1">
        <w:rPr>
          <w:color w:val="000000"/>
        </w:rPr>
        <w:t> Н.Д.М.: ЮНИТИ, 2012. - 575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Братко</w:t>
      </w:r>
      <w:proofErr w:type="spellEnd"/>
      <w:r w:rsidRPr="001A21F1">
        <w:rPr>
          <w:color w:val="000000"/>
        </w:rPr>
        <w:t> А.Г. Банковское право России. М.: Дело, 2015. - 650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Гуманков</w:t>
      </w:r>
      <w:proofErr w:type="spellEnd"/>
      <w:r w:rsidRPr="001A21F1">
        <w:rPr>
          <w:color w:val="000000"/>
        </w:rPr>
        <w:t xml:space="preserve"> К. Экспресс-кредитование // «</w:t>
      </w:r>
      <w:proofErr w:type="spellStart"/>
      <w:r w:rsidRPr="001A21F1">
        <w:rPr>
          <w:color w:val="000000"/>
        </w:rPr>
        <w:t>Финанс</w:t>
      </w:r>
      <w:proofErr w:type="spellEnd"/>
      <w:r w:rsidRPr="001A21F1">
        <w:rPr>
          <w:color w:val="000000"/>
        </w:rPr>
        <w:t>» №25 (115) 18-24 июля 2015 г.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Гардинер</w:t>
      </w:r>
      <w:proofErr w:type="spellEnd"/>
      <w:r w:rsidRPr="001A21F1">
        <w:rPr>
          <w:color w:val="000000"/>
        </w:rPr>
        <w:t xml:space="preserve"> Б. Природа риска. // Страховое дело, №6, 2014. - с. 41-44.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1A21F1">
        <w:rPr>
          <w:color w:val="000000"/>
        </w:rPr>
        <w:t>Изд</w:t>
      </w:r>
      <w:proofErr w:type="spellEnd"/>
      <w:r w:rsidRPr="001A21F1">
        <w:rPr>
          <w:color w:val="000000"/>
        </w:rPr>
        <w:t>. «</w:t>
      </w:r>
      <w:proofErr w:type="spellStart"/>
      <w:r w:rsidRPr="001A21F1">
        <w:rPr>
          <w:color w:val="000000"/>
        </w:rPr>
        <w:t>Аланс</w:t>
      </w:r>
      <w:proofErr w:type="spellEnd"/>
      <w:r w:rsidRPr="001A21F1">
        <w:rPr>
          <w:color w:val="000000"/>
        </w:rPr>
        <w:t>», 2016. - 200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Гранатуров</w:t>
      </w:r>
      <w:proofErr w:type="spellEnd"/>
      <w:r w:rsidRPr="001A21F1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1A21F1">
        <w:rPr>
          <w:color w:val="000000"/>
        </w:rPr>
        <w:t>перераб</w:t>
      </w:r>
      <w:proofErr w:type="spellEnd"/>
      <w:r w:rsidRPr="001A21F1">
        <w:rPr>
          <w:color w:val="000000"/>
        </w:rPr>
        <w:t>. и доп. - М.: Издательство «Дело и сервис», 2015. - 160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Грюнинг</w:t>
      </w:r>
      <w:proofErr w:type="spellEnd"/>
      <w:r w:rsidRPr="001A21F1">
        <w:rPr>
          <w:color w:val="000000"/>
        </w:rPr>
        <w:t xml:space="preserve"> Х. </w:t>
      </w:r>
      <w:proofErr w:type="spellStart"/>
      <w:r w:rsidRPr="001A21F1">
        <w:rPr>
          <w:color w:val="000000"/>
        </w:rPr>
        <w:t>ван</w:t>
      </w:r>
      <w:proofErr w:type="spellEnd"/>
      <w:r w:rsidRPr="001A21F1">
        <w:rPr>
          <w:color w:val="000000"/>
        </w:rPr>
        <w:t xml:space="preserve">, </w:t>
      </w:r>
      <w:proofErr w:type="spellStart"/>
      <w:r w:rsidRPr="001A21F1">
        <w:rPr>
          <w:color w:val="000000"/>
        </w:rPr>
        <w:t>Брайович</w:t>
      </w:r>
      <w:proofErr w:type="spellEnd"/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Братанович</w:t>
      </w:r>
      <w:proofErr w:type="spellEnd"/>
      <w:r w:rsidRPr="001A21F1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lastRenderedPageBreak/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Загорий</w:t>
      </w:r>
      <w:proofErr w:type="spellEnd"/>
      <w:r w:rsidRPr="001A21F1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27. Ковалев В.В., Ковалев Вит. В. Финансы организаций (предприятий): учебник. - М. Проспект, 2015. - 352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1A21F1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1A21F1">
        <w:rPr>
          <w:sz w:val="28"/>
          <w:szCs w:val="28"/>
          <w:highlight w:val="yellow"/>
        </w:rPr>
        <w:t>Задания для контроля</w:t>
      </w:r>
      <w:r w:rsidRPr="001A21F1">
        <w:rPr>
          <w:sz w:val="28"/>
          <w:szCs w:val="28"/>
        </w:rPr>
        <w:t xml:space="preserve"> </w:t>
      </w:r>
    </w:p>
    <w:p w:rsidR="00062DE2" w:rsidRPr="001A21F1" w:rsidRDefault="00062DE2" w:rsidP="001A21F1">
      <w:pPr>
        <w:spacing w:after="300"/>
        <w:outlineLvl w:val="0"/>
        <w:rPr>
          <w:b/>
          <w:bCs/>
          <w:kern w:val="36"/>
          <w:sz w:val="28"/>
          <w:szCs w:val="36"/>
        </w:rPr>
      </w:pPr>
      <w:r w:rsidRPr="001A21F1">
        <w:rPr>
          <w:b/>
          <w:bCs/>
          <w:kern w:val="36"/>
          <w:sz w:val="28"/>
          <w:szCs w:val="36"/>
        </w:rPr>
        <w:t>Тест: “Бухгалтерский учет в банках”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1. Баланс банка включает в себя столько разделов:</w:t>
      </w:r>
      <w:r w:rsidRPr="001A21F1">
        <w:br/>
        <w:t>а) 7</w:t>
      </w:r>
      <w:r w:rsidRPr="001A21F1">
        <w:br/>
        <w:t>б) 5</w:t>
      </w:r>
      <w:r w:rsidRPr="001A21F1">
        <w:br/>
        <w:t>в) 6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2. На счетах депо отражаются:</w:t>
      </w:r>
      <w:r w:rsidRPr="001A21F1">
        <w:br/>
        <w:t>а) кредиты и средства, предоставленные Минфину России</w:t>
      </w:r>
      <w:r w:rsidRPr="001A21F1">
        <w:br/>
        <w:t xml:space="preserve">б) депозитарные операции с ценными эмиссионными бумагами </w:t>
      </w:r>
      <w:r w:rsidRPr="001A21F1">
        <w:br/>
        <w:t>в) договорные условия депозитов, вкладов, прочих привлеченных средств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3. Базовая модель баланса коммерческого банка выглядит таким образом:</w:t>
      </w:r>
      <w:r w:rsidRPr="001A21F1">
        <w:br/>
        <w:t>а) актив &gt; пассив</w:t>
      </w:r>
      <w:r w:rsidRPr="001A21F1">
        <w:br/>
        <w:t>б) пассив &gt; актив</w:t>
      </w:r>
      <w:r w:rsidRPr="001A21F1">
        <w:br/>
        <w:t xml:space="preserve">в) актив = пассив 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4. В целях исключения злоупотреблений со средствами клиентов полномочия работников кассы и бухгалтерии:</w:t>
      </w:r>
      <w:r w:rsidRPr="001A21F1">
        <w:br/>
        <w:t xml:space="preserve">а) разделены </w:t>
      </w:r>
      <w:r w:rsidRPr="001A21F1">
        <w:br/>
        <w:t>б) дублируют друг друга</w:t>
      </w:r>
      <w:r w:rsidRPr="001A21F1">
        <w:br/>
        <w:t>в) совмещены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5. Из представленного ниже, к принципам построения баланса банка можно отнести:</w:t>
      </w:r>
      <w:r w:rsidRPr="001A21F1">
        <w:br/>
        <w:t>а) при построении баланса нет необходимости в обеспечении достоверности данных и наглядности их изображения</w:t>
      </w:r>
      <w:r w:rsidRPr="001A21F1">
        <w:br/>
        <w:t>б) баланс должен иметь разрозненную схему построения для всех балансовых учреждений</w:t>
      </w:r>
      <w:r w:rsidRPr="001A21F1">
        <w:br/>
        <w:t xml:space="preserve">в) баланс должен иметь экономически и логически обоснованные принципы группировки статей 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6. Из представленного ниже, к принципам построения баланса банка можно отнести:</w:t>
      </w:r>
      <w:r w:rsidRPr="001A21F1">
        <w:br/>
        <w:t>а) баланс должен иметь разрозненную схему построения для всех балансовых учреждений</w:t>
      </w:r>
      <w:r w:rsidRPr="001A21F1">
        <w:br/>
        <w:t xml:space="preserve">б) баланс должен быть легко читаем и предельно ясен </w:t>
      </w:r>
      <w:r w:rsidRPr="001A21F1">
        <w:br/>
        <w:t>в) при построении баланса нет необходимости в обеспечении достоверности данных и наглядности их изображения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lastRenderedPageBreak/>
        <w:t>7. Сто система регистрации и обобщения информации о совершаемых налогоплательщиком однородных операциях, приводящих к возникновению доходов или расходов, учитываемых при исчислении налоговой базы в соответствии с порядком, установленным НК РФ:</w:t>
      </w:r>
      <w:r w:rsidRPr="001A21F1">
        <w:br/>
        <w:t>а) налоговая декларация</w:t>
      </w:r>
      <w:r w:rsidRPr="001A21F1">
        <w:br/>
        <w:t>б) бухгалтерский учет</w:t>
      </w:r>
      <w:r w:rsidRPr="001A21F1">
        <w:br/>
        <w:t xml:space="preserve">в) налоговый учет 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8. Данные бухгалтерского учета используются Центральным банком России для:</w:t>
      </w:r>
      <w:r w:rsidRPr="001A21F1">
        <w:br/>
        <w:t>а) регулирования банковской деятельности +</w:t>
      </w:r>
      <w:r w:rsidRPr="001A21F1">
        <w:br/>
        <w:t>б) определения величины собственных средств, предоставленных кредитной организации</w:t>
      </w:r>
      <w:r w:rsidRPr="001A21F1">
        <w:br/>
        <w:t>в) оценки возможности получить часть прибыли в виде дивидендного дохода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9. Агентами валютного контроля в РФ являются:</w:t>
      </w:r>
      <w:r w:rsidRPr="001A21F1">
        <w:br/>
        <w:t>а) нерезиденты, осуществляющие валютные операции</w:t>
      </w:r>
      <w:r w:rsidRPr="001A21F1">
        <w:br/>
        <w:t>б) физические лица</w:t>
      </w:r>
      <w:r w:rsidRPr="001A21F1">
        <w:br/>
        <w:t xml:space="preserve">в) уполномоченные банки 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10. Как называется принцип построения Плана счетов банковского учета, предполагающий, что активы и пассивы учитываются по их первоначальной стоимости на момент приобретения или возникновения:</w:t>
      </w:r>
      <w:r w:rsidRPr="001A21F1">
        <w:br/>
        <w:t>а) открытость</w:t>
      </w:r>
      <w:r w:rsidRPr="001A21F1">
        <w:br/>
        <w:t>б) «едини</w:t>
      </w:r>
      <w:bookmarkStart w:id="0" w:name="_GoBack"/>
      <w:bookmarkEnd w:id="0"/>
      <w:r w:rsidRPr="001A21F1">
        <w:t>ца измерения» +</w:t>
      </w:r>
      <w:r w:rsidRPr="001A21F1">
        <w:br/>
        <w:t>в) непрерывность деятельности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11. Отсутствие кредитного риска (вероятность финансовых потерь вследствие неисполнения либо ненадлежащего исполнения заемщиком обязательств по ссуде равна нулю) относится к:</w:t>
      </w:r>
      <w:r w:rsidRPr="001A21F1">
        <w:br/>
        <w:t xml:space="preserve">а) I (высшей) категории качества (стандартные ссуды) </w:t>
      </w:r>
      <w:r w:rsidRPr="001A21F1">
        <w:br/>
        <w:t>б) II (высшей) категории качества (сомнительны ссуды)</w:t>
      </w:r>
      <w:r w:rsidRPr="001A21F1">
        <w:br/>
        <w:t>в) III (высшей) категории качества (нестандартные ссуды)</w:t>
      </w:r>
    </w:p>
    <w:p w:rsidR="00062DE2" w:rsidRPr="001A21F1" w:rsidRDefault="00062DE2" w:rsidP="00062DE2">
      <w:pPr>
        <w:shd w:val="clear" w:color="auto" w:fill="FFFFFF"/>
        <w:spacing w:after="375"/>
        <w:ind w:left="225"/>
      </w:pPr>
      <w:r w:rsidRPr="001A21F1">
        <w:t>12. В лицевых счетах показывается:</w:t>
      </w:r>
      <w:r w:rsidRPr="001A21F1">
        <w:br/>
        <w:t>а) входящий остаток на конец дня</w:t>
      </w:r>
      <w:r w:rsidRPr="001A21F1">
        <w:br/>
        <w:t xml:space="preserve">б) входящий остаток на начало дня </w:t>
      </w:r>
      <w:r w:rsidRPr="001A21F1">
        <w:br/>
        <w:t>в) исходящий остаток на конец дня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1A21F1" w:rsidRDefault="001A21F1" w:rsidP="001A21F1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1A21F1" w:rsidRPr="00583D8F" w:rsidRDefault="001A21F1" w:rsidP="001A21F1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Pr="00EE6163">
          <w:rPr>
            <w:rStyle w:val="a6"/>
            <w:b/>
            <w:sz w:val="32"/>
            <w:highlight w:val="yellow"/>
          </w:rPr>
          <w:t>017@</w:t>
        </w:r>
        <w:r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>
        <w:rPr>
          <w:b/>
          <w:sz w:val="32"/>
          <w:u w:val="single"/>
        </w:rPr>
        <w:t xml:space="preserve"> до 27.03.2020</w:t>
      </w:r>
    </w:p>
    <w:p w:rsidR="00EE6F46" w:rsidRDefault="00EE6F46" w:rsidP="00145A43">
      <w:pPr>
        <w:spacing w:line="360" w:lineRule="auto"/>
        <w:ind w:firstLine="720"/>
        <w:jc w:val="both"/>
      </w:pPr>
    </w:p>
    <w:sectPr w:rsidR="00EE6F46" w:rsidSect="00C50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C20"/>
    <w:multiLevelType w:val="hybridMultilevel"/>
    <w:tmpl w:val="8F228DDA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062DE2"/>
    <w:rsid w:val="00145A43"/>
    <w:rsid w:val="001A21F1"/>
    <w:rsid w:val="00243991"/>
    <w:rsid w:val="00270BFC"/>
    <w:rsid w:val="002E0099"/>
    <w:rsid w:val="002E5A87"/>
    <w:rsid w:val="00705D89"/>
    <w:rsid w:val="00B87E5B"/>
    <w:rsid w:val="00C5089A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АЛСИ</cp:lastModifiedBy>
  <cp:revision>8</cp:revision>
  <dcterms:created xsi:type="dcterms:W3CDTF">2020-03-20T06:47:00Z</dcterms:created>
  <dcterms:modified xsi:type="dcterms:W3CDTF">2020-03-20T11:40:00Z</dcterms:modified>
</cp:coreProperties>
</file>