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BA1F8B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="009A30BB"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  <w:fldChar w:fldCharType="separate"/>
      </w:r>
      <w:r w:rsidR="009A30BB"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 w:rsidR="009A30BB">
        <w:rPr>
          <w:b/>
          <w:sz w:val="28"/>
          <w:szCs w:val="28"/>
        </w:rPr>
        <w:t xml:space="preserve"> Право и судебное </w:t>
      </w:r>
      <w:r w:rsidR="009A30BB"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C49D0" w:rsidRDefault="009C49D0" w:rsidP="009C49D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9C49D0" w:rsidRDefault="009C49D0" w:rsidP="009C49D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9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D1152E" w:rsidRDefault="00D1152E" w:rsidP="00D1152E">
      <w:pPr>
        <w:ind w:firstLine="709"/>
        <w:jc w:val="center"/>
        <w:rPr>
          <w:b/>
        </w:rPr>
      </w:pPr>
      <w:r w:rsidRPr="000C2AE3">
        <w:rPr>
          <w:b/>
        </w:rPr>
        <w:t>Тема 6    «ПРОЦЕССУАЛЬНЫЕ СРОКИ</w:t>
      </w:r>
      <w:r>
        <w:rPr>
          <w:b/>
        </w:rPr>
        <w:t>.</w:t>
      </w:r>
      <w:r w:rsidRPr="00D1152E">
        <w:rPr>
          <w:b/>
        </w:rPr>
        <w:t xml:space="preserve"> </w:t>
      </w:r>
      <w:r w:rsidRPr="00FB542B">
        <w:rPr>
          <w:b/>
        </w:rPr>
        <w:t>СУДЕБНЫЕ РАСХОДЫ И СУДЕБНЫЕ ШТРАФЫ</w:t>
      </w:r>
      <w:r w:rsidRPr="000C2AE3"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Понятие процессуальных сроков, их значение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Виды процессуальных сроков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Течение процессуальных сроков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Понятие и виды судебных расходов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Государственная пошлина: понятие и виды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Цена иска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Судебные издержки: понятие и состав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Распределение судебных расходов между сторонами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Судебные штрафы: основание и порядок наложения </w:t>
      </w:r>
    </w:p>
    <w:p w:rsidR="00D1152E" w:rsidRPr="000C2AE3" w:rsidRDefault="00D1152E" w:rsidP="00D1152E">
      <w:pPr>
        <w:ind w:firstLine="709"/>
        <w:jc w:val="both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</w:t>
      </w:r>
      <w:r w:rsidR="00464C2F">
        <w:rPr>
          <w:b/>
          <w:bCs/>
        </w:rPr>
        <w:t>и</w:t>
      </w: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t>Задача № 1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>Гражданин Фауст Ф. предъявил исковое заявление в суд, не уплатив государственную пошлину, и не указал адрес ответчика. Судья вынес определение об оставлении заявления без движения и указал, что истец должен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трех дней исправить недостатки искового заявления. </w:t>
      </w:r>
    </w:p>
    <w:p w:rsidR="00464C2F" w:rsidRP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Какой вид сроков указан в данном случае, и какие последствия влечет за собой несвоевременное исполнение указаний судьи?</w:t>
      </w:r>
    </w:p>
    <w:p w:rsidR="00464C2F" w:rsidRDefault="00464C2F" w:rsidP="00464C2F">
      <w:pPr>
        <w:pStyle w:val="a7"/>
        <w:ind w:firstLine="567"/>
        <w:jc w:val="both"/>
        <w:rPr>
          <w:b/>
          <w:bCs/>
          <w:color w:val="000000"/>
        </w:rPr>
      </w:pP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lastRenderedPageBreak/>
        <w:t>Задача № 2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 xml:space="preserve">Супруги </w:t>
      </w:r>
      <w:proofErr w:type="spellStart"/>
      <w:r w:rsidRPr="00464C2F">
        <w:rPr>
          <w:color w:val="000000"/>
        </w:rPr>
        <w:t>Жанадиловы</w:t>
      </w:r>
      <w:proofErr w:type="spellEnd"/>
      <w:r w:rsidRPr="00464C2F">
        <w:rPr>
          <w:color w:val="000000"/>
        </w:rPr>
        <w:t xml:space="preserve"> предъявили иск в суд на своих соседей, которые причинили их имуществу вред, в результате наезда автотранспортом. Суд вынес определение о возбуждении гражданского дела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7 дней. Подготовку дела к судебному разбирательству суд осуществил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5 дней. Рассмотрение дела в суде первой инстанции прошло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14 дней. В вынесенном решении суда было указано что, данное решение вступает в законную силу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25 дней, а жалобу в апелляционном порядке необходимо подать в течении 10 дней. </w:t>
      </w:r>
    </w:p>
    <w:p w:rsid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Какие ошибки допущены судом?</w:t>
      </w:r>
    </w:p>
    <w:p w:rsidR="00464C2F" w:rsidRPr="00464C2F" w:rsidRDefault="00464C2F" w:rsidP="00464C2F">
      <w:pPr>
        <w:pStyle w:val="a7"/>
        <w:numPr>
          <w:ilvl w:val="0"/>
          <w:numId w:val="2"/>
        </w:numPr>
        <w:jc w:val="both"/>
        <w:rPr>
          <w:b/>
          <w:color w:val="000000"/>
          <w:sz w:val="28"/>
        </w:rPr>
      </w:pPr>
      <w:r w:rsidRPr="00464C2F">
        <w:rPr>
          <w:b/>
          <w:color w:val="000000"/>
          <w:sz w:val="28"/>
        </w:rPr>
        <w:t>Тест</w:t>
      </w: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В случаях, если процессуальные сроки не установлены федеральным законом, они: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назначаются судом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</w:pPr>
      <w:r w:rsidRPr="00AD7D6D">
        <w:t>исчисляются в течение 7 дней</w:t>
      </w:r>
    </w:p>
    <w:p w:rsidR="00464C2F" w:rsidRPr="00784212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исчисляются в течение 30 дней</w:t>
      </w:r>
    </w:p>
    <w:p w:rsidR="00464C2F" w:rsidRPr="00AD7D6D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Процессуальные сроки определяются: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датой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указанием на событие, которое должно неизбежно наступить</w:t>
      </w:r>
    </w:p>
    <w:p w:rsidR="00464C2F" w:rsidRPr="00784212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D634AC">
        <w:t>периодом</w:t>
      </w:r>
    </w:p>
    <w:p w:rsidR="00464C2F" w:rsidRPr="00D634A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Течение процессуального срока, исчисляемого годами, месяцами или днями, начинается: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ind w:left="1276"/>
        <w:jc w:val="both"/>
      </w:pPr>
      <w:r w:rsidRPr="00D634AC">
        <w:t>на следующий день после даты или наступления события, которыми определено его начало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в  день даты или наступления события, которыми определено его начало</w:t>
      </w:r>
    </w:p>
    <w:p w:rsidR="00464C2F" w:rsidRPr="00784212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оба варианта правильны</w:t>
      </w:r>
    </w:p>
    <w:p w:rsidR="00464C2F" w:rsidRPr="00D634AC" w:rsidRDefault="00464C2F" w:rsidP="00464C2F">
      <w:pPr>
        <w:pStyle w:val="a4"/>
        <w:tabs>
          <w:tab w:val="left" w:pos="1418"/>
        </w:tabs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В случае</w:t>
      </w:r>
      <w:proofErr w:type="gramStart"/>
      <w:r w:rsidRPr="00116473">
        <w:t>,</w:t>
      </w:r>
      <w:proofErr w:type="gramEnd"/>
      <w:r w:rsidRPr="00116473">
        <w:t xml:space="preserve"> если последний день процессуального срока приходится на нерабочий день, днем окончания срока считается: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предыдущий рабочий день 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по согласованию </w:t>
      </w:r>
    </w:p>
    <w:p w:rsidR="00464C2F" w:rsidRPr="00116473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B569DC">
        <w:t>следующий за ним рабочий день</w:t>
      </w:r>
    </w:p>
    <w:p w:rsidR="00464C2F" w:rsidRPr="00B569D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6473">
        <w:t>С истечением установленного федеральным законом или назначенного судом процессуального срока право на совершение процессуальных действий: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Погашается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Приостанавливается</w:t>
      </w:r>
    </w:p>
    <w:p w:rsidR="00464C2F" w:rsidRPr="0011647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На усмотрение суда</w:t>
      </w:r>
    </w:p>
    <w:p w:rsidR="00464C2F" w:rsidRPr="00F248E3" w:rsidRDefault="00464C2F" w:rsidP="00464C2F">
      <w:pPr>
        <w:pStyle w:val="a4"/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Со дня возобновления производства по делу течение процессуальных сроков: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>Исчисляются заново</w:t>
      </w:r>
    </w:p>
    <w:p w:rsidR="00464C2F" w:rsidRPr="00F248E3" w:rsidRDefault="00464C2F" w:rsidP="00464C2F">
      <w:pPr>
        <w:pStyle w:val="a4"/>
        <w:numPr>
          <w:ilvl w:val="0"/>
          <w:numId w:val="11"/>
        </w:numPr>
        <w:spacing w:after="200" w:line="276" w:lineRule="auto"/>
        <w:ind w:left="1276"/>
      </w:pPr>
      <w:r w:rsidRPr="00BA0689">
        <w:t>На усмотрение суда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 xml:space="preserve">Продолжается </w:t>
      </w:r>
    </w:p>
    <w:p w:rsidR="00464C2F" w:rsidRPr="00F248E3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Назначенные судом процессуальные сроки: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судом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</w:pPr>
      <w:r w:rsidRPr="001D7B76">
        <w:t xml:space="preserve">не могут быть </w:t>
      </w:r>
      <w:proofErr w:type="gramStart"/>
      <w:r w:rsidRPr="001D7B76">
        <w:t>продлены</w:t>
      </w:r>
      <w:proofErr w:type="gramEnd"/>
      <w:r w:rsidRPr="001D7B76">
        <w:t xml:space="preserve">  </w:t>
      </w:r>
    </w:p>
    <w:p w:rsidR="00464C2F" w:rsidRPr="00116473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lastRenderedPageBreak/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на 7 дней</w:t>
      </w:r>
    </w:p>
    <w:p w:rsidR="00464C2F" w:rsidRPr="001D7B76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Заявление о восстановлении пропущенного процессуального срока: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t>подается в суд, в котором надлежало совершить процессуальное действие, и рассматривается</w:t>
      </w:r>
      <w:r>
        <w:t xml:space="preserve"> судьей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t>подается в суд, в котором надлежало совершить процессуальное действие, и рассм</w:t>
      </w:r>
      <w:r>
        <w:t>атривается в судебном заседании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  <w:rPr>
          <w:rFonts w:ascii="Verdana" w:hAnsi="Verdana"/>
          <w:sz w:val="21"/>
          <w:szCs w:val="21"/>
        </w:rPr>
      </w:pPr>
      <w:r w:rsidRPr="0043515C">
        <w:t>подается в вышестоящий суд</w:t>
      </w:r>
    </w:p>
    <w:p w:rsidR="00464C2F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784212" w:rsidRDefault="00464C2F" w:rsidP="00464C2F">
      <w:pPr>
        <w:pStyle w:val="a4"/>
        <w:numPr>
          <w:ilvl w:val="0"/>
          <w:numId w:val="15"/>
        </w:numPr>
        <w:jc w:val="both"/>
      </w:pPr>
      <w:r w:rsidRPr="00784212">
        <w:t>Определение суда о восстановлении или об отказе в восстановлении пропущенного процессуального срока: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может быть обжаловано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spacing w:before="121"/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не может быть обжаловано</w:t>
      </w:r>
    </w:p>
    <w:p w:rsidR="00464C2F" w:rsidRPr="00464C2F" w:rsidRDefault="00464C2F" w:rsidP="00464C2F">
      <w:pPr>
        <w:shd w:val="clear" w:color="auto" w:fill="FFFFFF"/>
        <w:ind w:left="1418" w:firstLine="567"/>
        <w:jc w:val="both"/>
        <w:rPr>
          <w:i/>
          <w:u w:val="single"/>
        </w:rPr>
      </w:pP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72104B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23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19"/>
    <w:multiLevelType w:val="hybridMultilevel"/>
    <w:tmpl w:val="9FBEE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53F"/>
    <w:multiLevelType w:val="hybridMultilevel"/>
    <w:tmpl w:val="8626FA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4357E6"/>
    <w:multiLevelType w:val="hybridMultilevel"/>
    <w:tmpl w:val="AF68C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FC1"/>
    <w:multiLevelType w:val="hybridMultilevel"/>
    <w:tmpl w:val="871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B69"/>
    <w:multiLevelType w:val="hybridMultilevel"/>
    <w:tmpl w:val="5ADE8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11DF"/>
    <w:multiLevelType w:val="hybridMultilevel"/>
    <w:tmpl w:val="8A9AB9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9AB2124"/>
    <w:multiLevelType w:val="hybridMultilevel"/>
    <w:tmpl w:val="17545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04DB"/>
    <w:multiLevelType w:val="hybridMultilevel"/>
    <w:tmpl w:val="D8363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5D33"/>
    <w:multiLevelType w:val="hybridMultilevel"/>
    <w:tmpl w:val="9918BB10"/>
    <w:lvl w:ilvl="0" w:tplc="14BE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0E55"/>
    <w:multiLevelType w:val="hybridMultilevel"/>
    <w:tmpl w:val="F47CD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4">
    <w:nsid w:val="77CB700F"/>
    <w:multiLevelType w:val="hybridMultilevel"/>
    <w:tmpl w:val="91B6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49E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4C2F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04B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9D0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1F8B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152E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2020-03-23T07:54:00Z</dcterms:modified>
</cp:coreProperties>
</file>